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43FF" w:rsidRDefault="00C55C22" w:rsidP="006205B3">
      <w:pPr>
        <w:rPr>
          <w:b/>
          <w:bCs/>
        </w:rPr>
      </w:pPr>
      <w:r w:rsidRPr="00C55C22">
        <w:rPr>
          <w:b/>
          <w:bCs/>
        </w:rPr>
        <w:t>Εκτίμηση του κοινωνικοοικονομικού αντίκτυπου της Κρουαζιέρας για τη Θεσσαλονίκη</w:t>
      </w:r>
      <w:r w:rsidR="001F3C0E" w:rsidRPr="001F3C0E">
        <w:rPr>
          <w:b/>
          <w:bCs/>
        </w:rPr>
        <w:t>, του Θάνου Πάλλη, Καθηγητή, Τμήμα Ναυτιλιακών Σπουδών, Πανεπιστήμιο Πειραιά</w:t>
      </w:r>
    </w:p>
    <w:p w:rsidR="001F3C0E" w:rsidRDefault="001F3C0E" w:rsidP="006205B3">
      <w:pPr>
        <w:rPr>
          <w:b/>
          <w:bCs/>
        </w:rPr>
      </w:pPr>
    </w:p>
    <w:p w:rsidR="001F3C0E" w:rsidRPr="001F3C0E" w:rsidRDefault="001F3C0E" w:rsidP="006205B3">
      <w:r>
        <w:rPr>
          <w:b/>
          <w:bCs/>
        </w:rPr>
        <w:t>ΒΑΣΙΚΑ ΣΥΜΠΕΡΑΣΜΑΤΑ ΕΡΕΥΝΑΣ</w:t>
      </w:r>
    </w:p>
    <w:p w:rsidR="00FE0D52" w:rsidRDefault="00715988" w:rsidP="00D9120A">
      <w:pPr>
        <w:jc w:val="both"/>
      </w:pPr>
      <w:r>
        <w:t xml:space="preserve">Παρουσιάστηκαν </w:t>
      </w:r>
      <w:r w:rsidR="00FE0D52">
        <w:t>σ</w:t>
      </w:r>
      <w:r w:rsidR="006205B3">
        <w:t>τη διάρκεια του 7ου</w:t>
      </w:r>
      <w:r w:rsidR="006205B3" w:rsidRPr="00FD15D2">
        <w:t xml:space="preserve"> </w:t>
      </w:r>
      <w:r w:rsidR="006205B3">
        <w:rPr>
          <w:lang w:val="en-US"/>
        </w:rPr>
        <w:t>Posidonia</w:t>
      </w:r>
      <w:r w:rsidR="006205B3" w:rsidRPr="00FD15D2">
        <w:t xml:space="preserve"> </w:t>
      </w:r>
      <w:r w:rsidR="006205B3">
        <w:rPr>
          <w:lang w:val="en-US"/>
        </w:rPr>
        <w:t>Sea</w:t>
      </w:r>
      <w:r w:rsidR="006205B3" w:rsidRPr="00FD15D2">
        <w:t xml:space="preserve"> </w:t>
      </w:r>
      <w:r w:rsidR="006205B3">
        <w:rPr>
          <w:lang w:val="en-US"/>
        </w:rPr>
        <w:t>Tourism</w:t>
      </w:r>
      <w:r w:rsidR="006205B3" w:rsidRPr="00FD15D2">
        <w:t xml:space="preserve"> </w:t>
      </w:r>
      <w:r w:rsidR="006205B3">
        <w:rPr>
          <w:lang w:val="en-US"/>
        </w:rPr>
        <w:t>Forum</w:t>
      </w:r>
      <w:r w:rsidR="006205B3" w:rsidRPr="00FD15D2">
        <w:t xml:space="preserve"> </w:t>
      </w:r>
      <w:r w:rsidR="006205B3">
        <w:t>τα αρχικά</w:t>
      </w:r>
      <w:r>
        <w:t xml:space="preserve"> </w:t>
      </w:r>
      <w:r w:rsidRPr="00FE0D52">
        <w:t>αποτελέσματα της έρευνας «Εκτίμησης του Κοινωνικοοικονομικού αντίκτυπου της Κρουαζιέρας για τη Θεσσαλονίκη», την οποία υλοποιεί ο Οργανισμός Λιμένος Θεσσαλονίκης και ο Οργανισμός Τουρισμού Θεσσαλονίκης</w:t>
      </w:r>
      <w:r w:rsidR="00FE0D52" w:rsidRPr="00FE0D52">
        <w:t>, σε συνεργασία με τ</w:t>
      </w:r>
      <w:r w:rsidR="00D9120A">
        <w:t>α</w:t>
      </w:r>
      <w:r w:rsidR="00FE0D52" w:rsidRPr="00FE0D52">
        <w:t xml:space="preserve"> Πανεπιστήμι</w:t>
      </w:r>
      <w:r w:rsidR="00D343FF">
        <w:t>α</w:t>
      </w:r>
      <w:r w:rsidR="00FE0D52" w:rsidRPr="00FE0D52">
        <w:t xml:space="preserve"> Πειραιώς</w:t>
      </w:r>
      <w:r w:rsidR="00D343FF">
        <w:t xml:space="preserve"> και Αιγαίου.</w:t>
      </w:r>
    </w:p>
    <w:p w:rsidR="00715988" w:rsidRDefault="00715988" w:rsidP="00D9120A">
      <w:pPr>
        <w:jc w:val="both"/>
      </w:pPr>
    </w:p>
    <w:p w:rsidR="00FE0D52" w:rsidRDefault="00FE0D52" w:rsidP="00D9120A">
      <w:pPr>
        <w:jc w:val="both"/>
      </w:pPr>
      <w:r>
        <w:t>Η</w:t>
      </w:r>
      <w:r w:rsidRPr="001F7349">
        <w:t xml:space="preserve"> έρευνα</w:t>
      </w:r>
      <w:r w:rsidR="00D343FF">
        <w:t xml:space="preserve"> </w:t>
      </w:r>
      <w:r>
        <w:t>ξεκίνησε τον Νοέμβριο 2022 και αναμένεται να ολοκληρωθεί τον προσεχή Οκτώβριο</w:t>
      </w:r>
      <w:r w:rsidR="00D343FF">
        <w:t xml:space="preserve"> 2023</w:t>
      </w:r>
      <w:r>
        <w:t>, και</w:t>
      </w:r>
      <w:r w:rsidRPr="001F7349">
        <w:t xml:space="preserve"> </w:t>
      </w:r>
      <w:r w:rsidR="00D343FF">
        <w:t>διερευνά</w:t>
      </w:r>
      <w:r w:rsidRPr="001F7349">
        <w:t xml:space="preserve"> </w:t>
      </w:r>
      <w:r w:rsidR="00D343FF">
        <w:t>τις</w:t>
      </w:r>
      <w:r w:rsidRPr="001F7349">
        <w:t xml:space="preserve"> οικονομικ</w:t>
      </w:r>
      <w:r w:rsidR="00D343FF">
        <w:t>ές</w:t>
      </w:r>
      <w:r w:rsidRPr="001F7349">
        <w:t xml:space="preserve"> </w:t>
      </w:r>
      <w:proofErr w:type="spellStart"/>
      <w:r w:rsidRPr="001F7349">
        <w:t>επιπτώσε</w:t>
      </w:r>
      <w:r w:rsidR="00D343FF">
        <w:t>εις</w:t>
      </w:r>
      <w:proofErr w:type="spellEnd"/>
      <w:r w:rsidRPr="001F7349">
        <w:t xml:space="preserve"> της δραστηριότητας κρουαζιέρας </w:t>
      </w:r>
      <w:r w:rsidR="00D343FF">
        <w:t xml:space="preserve">τόσο </w:t>
      </w:r>
      <w:r w:rsidRPr="001F7349">
        <w:t xml:space="preserve">στην </w:t>
      </w:r>
      <w:r>
        <w:t>π</w:t>
      </w:r>
      <w:r w:rsidRPr="001F7349">
        <w:t>όλη της Θεσσαλονίκης, αλλά και την ευρύτερη μητροπολιτική Ενότητα Θεσσαλονίκης.</w:t>
      </w:r>
    </w:p>
    <w:p w:rsidR="00715988" w:rsidRPr="00FE0D52" w:rsidRDefault="00715988" w:rsidP="00D9120A">
      <w:pPr>
        <w:jc w:val="both"/>
      </w:pPr>
    </w:p>
    <w:p w:rsidR="00D343FF" w:rsidRPr="00D343FF" w:rsidRDefault="00FE0D52" w:rsidP="00D9120A">
      <w:pPr>
        <w:jc w:val="both"/>
      </w:pPr>
      <w:r>
        <w:t xml:space="preserve">Σύμφωνα με τα </w:t>
      </w:r>
      <w:r w:rsidR="00D343FF">
        <w:t xml:space="preserve">μέχρι στιγμής </w:t>
      </w:r>
      <w:r>
        <w:t xml:space="preserve">ευρήματα, την οποία παρουσίασε ο </w:t>
      </w:r>
      <w:r w:rsidR="00D343FF">
        <w:t>επιστημονικός υπεύθυνος και καθηγη</w:t>
      </w:r>
      <w:r w:rsidR="00D9120A">
        <w:t>τής</w:t>
      </w:r>
      <w:r w:rsidR="00D343FF">
        <w:t xml:space="preserve"> του Πανεπιστημίου Πειραιώς, Θάνος Πάλλης:</w:t>
      </w:r>
    </w:p>
    <w:p w:rsidR="00FE0D52" w:rsidRPr="00D343FF" w:rsidRDefault="00FE0D52" w:rsidP="00D9120A">
      <w:pPr>
        <w:pStyle w:val="ListParagraph"/>
        <w:numPr>
          <w:ilvl w:val="0"/>
          <w:numId w:val="4"/>
        </w:numPr>
        <w:jc w:val="both"/>
      </w:pPr>
      <w:r w:rsidRPr="00D343FF">
        <w:t>ο</w:t>
      </w:r>
      <w:r w:rsidR="00FD15D2" w:rsidRPr="00D343FF">
        <w:t>ι δαπάνες ανά επιβάτη κρουαζιέρας στην πόλη της Θεσσαλονίκης αν</w:t>
      </w:r>
      <w:r w:rsidR="00D343FF" w:rsidRPr="00D343FF">
        <w:t>έ</w:t>
      </w:r>
      <w:r w:rsidR="00FD15D2" w:rsidRPr="00D343FF">
        <w:t xml:space="preserve">ρχονται σε €54,5. </w:t>
      </w:r>
    </w:p>
    <w:p w:rsidR="00FE0D52" w:rsidRPr="00D343FF" w:rsidRDefault="00FD15D2" w:rsidP="00D9120A">
      <w:pPr>
        <w:pStyle w:val="ListParagraph"/>
        <w:numPr>
          <w:ilvl w:val="0"/>
          <w:numId w:val="4"/>
        </w:numPr>
        <w:jc w:val="both"/>
      </w:pPr>
      <w:r w:rsidRPr="00D343FF">
        <w:t xml:space="preserve">Επιπρόσθετα, οι επιβάτες δαπανούν €15,1 κατά τη διάρκεια των οργανωμένων </w:t>
      </w:r>
      <w:r w:rsidR="00D343FF" w:rsidRPr="00D343FF">
        <w:t>εκδρομών</w:t>
      </w:r>
    </w:p>
    <w:p w:rsidR="00FD15D2" w:rsidRPr="00D343FF" w:rsidRDefault="00FD15D2" w:rsidP="00D9120A">
      <w:pPr>
        <w:pStyle w:val="ListParagraph"/>
        <w:numPr>
          <w:ilvl w:val="0"/>
          <w:numId w:val="4"/>
        </w:numPr>
        <w:jc w:val="both"/>
      </w:pPr>
      <w:r w:rsidRPr="00D343FF">
        <w:t xml:space="preserve">στα </w:t>
      </w:r>
      <w:r w:rsidR="00FE0D52" w:rsidRPr="00D343FF">
        <w:t>€</w:t>
      </w:r>
      <w:r w:rsidRPr="00D343FF">
        <w:t xml:space="preserve">98,8 ανέρχονται οι δαπάνες αγοράς εκδρομής </w:t>
      </w:r>
    </w:p>
    <w:p w:rsidR="00D343FF" w:rsidRDefault="00D343FF" w:rsidP="00D9120A">
      <w:pPr>
        <w:jc w:val="both"/>
      </w:pPr>
    </w:p>
    <w:p w:rsidR="00D9120A" w:rsidRDefault="00FE0D52" w:rsidP="00D9120A">
      <w:pPr>
        <w:jc w:val="both"/>
        <w:rPr>
          <w:b/>
          <w:bCs/>
        </w:rPr>
      </w:pPr>
      <w:r>
        <w:t xml:space="preserve">Σε αυτά </w:t>
      </w:r>
      <w:r w:rsidR="00D343FF">
        <w:t xml:space="preserve">τις δαπάνες </w:t>
      </w:r>
      <w:r>
        <w:t>θα πρέπει να προστεθούν και οι</w:t>
      </w:r>
      <w:r w:rsidR="00D343FF">
        <w:t xml:space="preserve"> σημαντικές</w:t>
      </w:r>
      <w:r>
        <w:t xml:space="preserve"> δαπάνες των πληρωμάτων, οι οποίες ανέρχονται σε </w:t>
      </w:r>
      <w:r w:rsidRPr="00D343FF">
        <w:t>€105,4</w:t>
      </w:r>
      <w:r w:rsidR="00D343FF" w:rsidRPr="00D343FF">
        <w:t xml:space="preserve"> ανά μέλος του πληρώματος</w:t>
      </w:r>
      <w:r w:rsidR="00D343FF">
        <w:rPr>
          <w:b/>
          <w:bCs/>
        </w:rPr>
        <w:t xml:space="preserve">. </w:t>
      </w:r>
    </w:p>
    <w:p w:rsidR="00D9120A" w:rsidRDefault="00D9120A" w:rsidP="00D9120A">
      <w:pPr>
        <w:jc w:val="both"/>
        <w:rPr>
          <w:b/>
          <w:bCs/>
        </w:rPr>
      </w:pPr>
    </w:p>
    <w:p w:rsidR="00FE0D52" w:rsidRPr="00FE0D52" w:rsidRDefault="00D9120A" w:rsidP="00D9120A">
      <w:pPr>
        <w:jc w:val="both"/>
      </w:pPr>
      <w:r>
        <w:rPr>
          <w:b/>
          <w:bCs/>
        </w:rPr>
        <w:t>Α</w:t>
      </w:r>
      <w:r w:rsidR="00D343FF">
        <w:rPr>
          <w:b/>
          <w:bCs/>
        </w:rPr>
        <w:t xml:space="preserve">ξίζει να τονιστεί ότι οι δαπάνες αυτές </w:t>
      </w:r>
      <w:r>
        <w:rPr>
          <w:b/>
          <w:bCs/>
        </w:rPr>
        <w:t>παραδοσιακά</w:t>
      </w:r>
      <w:r w:rsidR="00D343FF">
        <w:rPr>
          <w:b/>
          <w:bCs/>
        </w:rPr>
        <w:t xml:space="preserve"> αυξάνονται κατά τους </w:t>
      </w:r>
      <w:r>
        <w:rPr>
          <w:b/>
          <w:bCs/>
        </w:rPr>
        <w:t xml:space="preserve">εαρινούς και </w:t>
      </w:r>
      <w:r w:rsidR="00D343FF">
        <w:rPr>
          <w:b/>
          <w:bCs/>
        </w:rPr>
        <w:t xml:space="preserve">καλοκαιρινούς μήνες, όταν </w:t>
      </w:r>
      <w:r>
        <w:rPr>
          <w:b/>
          <w:bCs/>
        </w:rPr>
        <w:t>οι καιρικές συνθήκες ευνοούν την περεταίρω παραμονή των επιβατών στην πόλη, ή την αύξηση όσων επιλέγουν εκδρομές στην ευρύτερη περιοχή.</w:t>
      </w:r>
    </w:p>
    <w:p w:rsidR="00FD15D2" w:rsidRDefault="00FD15D2" w:rsidP="00D9120A">
      <w:pPr>
        <w:jc w:val="both"/>
      </w:pPr>
    </w:p>
    <w:p w:rsidR="00FE0D52" w:rsidRPr="00D9120A" w:rsidRDefault="00FD15D2" w:rsidP="00D9120A">
      <w:pPr>
        <w:jc w:val="both"/>
        <w:rPr>
          <w:b/>
          <w:bCs/>
        </w:rPr>
      </w:pPr>
      <w:r>
        <w:t xml:space="preserve">Συνυπολογίζοντας τα έσοδα των </w:t>
      </w:r>
      <w:r w:rsidR="00D343FF">
        <w:t>ν</w:t>
      </w:r>
      <w:r>
        <w:t>αυτιλιακών πρακτόρων και τα λιμενικά τέλη</w:t>
      </w:r>
      <w:r w:rsidR="00BF3903">
        <w:t xml:space="preserve"> </w:t>
      </w:r>
      <w:r w:rsidR="00BF3903" w:rsidRPr="00FE0D52">
        <w:t xml:space="preserve">από τις </w:t>
      </w:r>
      <w:r w:rsidR="00D9120A" w:rsidRPr="00D9120A">
        <w:rPr>
          <w:b/>
          <w:bCs/>
        </w:rPr>
        <w:t xml:space="preserve">χειμερινές’ </w:t>
      </w:r>
      <w:r w:rsidR="00BF3903" w:rsidRPr="00D9120A">
        <w:rPr>
          <w:b/>
          <w:bCs/>
        </w:rPr>
        <w:t>κρουαζιέρες της περιόδου Νοέμβριος-Απρίλης</w:t>
      </w:r>
      <w:r w:rsidRPr="00D9120A">
        <w:rPr>
          <w:b/>
          <w:bCs/>
        </w:rPr>
        <w:t>,</w:t>
      </w:r>
    </w:p>
    <w:p w:rsidR="00FE0D52" w:rsidRPr="00D9120A" w:rsidRDefault="00FD15D2" w:rsidP="00D9120A">
      <w:pPr>
        <w:pStyle w:val="ListParagraph"/>
        <w:numPr>
          <w:ilvl w:val="0"/>
          <w:numId w:val="5"/>
        </w:numPr>
        <w:jc w:val="both"/>
      </w:pPr>
      <w:r w:rsidRPr="00D9120A">
        <w:t xml:space="preserve">οι άμεσες </w:t>
      </w:r>
      <w:r w:rsidR="00FE0D52" w:rsidRPr="00D9120A">
        <w:t xml:space="preserve">θετικές επιπτώσεις </w:t>
      </w:r>
      <w:r w:rsidRPr="00D9120A">
        <w:t xml:space="preserve">από τις ‘χειμερινές’ κρουαζιέρες </w:t>
      </w:r>
      <w:r w:rsidR="00FE0D52" w:rsidRPr="00D9120A">
        <w:t xml:space="preserve">(Νοέμβριος-Απρίλης) </w:t>
      </w:r>
      <w:r w:rsidRPr="00D9120A">
        <w:t xml:space="preserve">ανέρχονται σε €798.000, </w:t>
      </w:r>
    </w:p>
    <w:p w:rsidR="00FD15D2" w:rsidRPr="00D9120A" w:rsidRDefault="00FD15D2" w:rsidP="00D9120A">
      <w:pPr>
        <w:pStyle w:val="ListParagraph"/>
        <w:numPr>
          <w:ilvl w:val="0"/>
          <w:numId w:val="5"/>
        </w:numPr>
        <w:jc w:val="both"/>
      </w:pPr>
      <w:r w:rsidRPr="00D9120A">
        <w:t xml:space="preserve">οι έμμεσες </w:t>
      </w:r>
      <w:r w:rsidR="00FE0D52" w:rsidRPr="00D9120A">
        <w:t xml:space="preserve">θετικές επιπτώσεις από τις ‘χειμερινές’ κρουαζιέρες (Νοέμβριος-Απρίλης) ανέρχονται σε </w:t>
      </w:r>
      <w:r w:rsidRPr="00D9120A">
        <w:t>€533.</w:t>
      </w:r>
      <w:r w:rsidR="00FE0D52" w:rsidRPr="00D9120A">
        <w:t>000</w:t>
      </w:r>
    </w:p>
    <w:p w:rsidR="00FD15D2" w:rsidRPr="00D9120A" w:rsidRDefault="00FE0D52" w:rsidP="00D9120A">
      <w:pPr>
        <w:pStyle w:val="ListParagraph"/>
        <w:numPr>
          <w:ilvl w:val="0"/>
          <w:numId w:val="5"/>
        </w:numPr>
        <w:jc w:val="both"/>
      </w:pPr>
      <w:r w:rsidRPr="00D9120A">
        <w:t xml:space="preserve">Οι συνολικές θετικές επιπτώσεις από τις ‘χειμερινές’ κρουαζιέρες (Νοέμβριος-Απρίλης) ανέρχονται σε </w:t>
      </w:r>
      <w:r w:rsidR="00FD15D2" w:rsidRPr="00D9120A">
        <w:t>€1</w:t>
      </w:r>
      <w:r w:rsidRPr="00D9120A">
        <w:t>,</w:t>
      </w:r>
      <w:r w:rsidR="00FD15D2" w:rsidRPr="00D9120A">
        <w:t>33</w:t>
      </w:r>
      <w:r w:rsidRPr="00D9120A">
        <w:t xml:space="preserve"> εκ.</w:t>
      </w:r>
    </w:p>
    <w:p w:rsidR="00BF3903" w:rsidRPr="00D9120A" w:rsidRDefault="00BF3903" w:rsidP="00D9120A">
      <w:pPr>
        <w:pStyle w:val="ListParagraph"/>
        <w:numPr>
          <w:ilvl w:val="0"/>
          <w:numId w:val="5"/>
        </w:numPr>
        <w:jc w:val="both"/>
      </w:pPr>
      <w:r w:rsidRPr="00D9120A">
        <w:t>Σε όρους απασχόλησης, οι χειμερινές’ κρουαζιέρες έχουν ως αποτέλεσμα την διατήρηση 35 θέσεων εργασίας σε ετήσια βάση.</w:t>
      </w:r>
    </w:p>
    <w:p w:rsidR="00FE0D52" w:rsidRDefault="00FE0D52" w:rsidP="00D9120A">
      <w:pPr>
        <w:jc w:val="both"/>
      </w:pPr>
    </w:p>
    <w:p w:rsidR="00FE0D52" w:rsidRDefault="00BF3903" w:rsidP="00D9120A">
      <w:pPr>
        <w:jc w:val="both"/>
      </w:pPr>
      <w:r>
        <w:t xml:space="preserve">Παρουσιάστηκαν επίσης και οι </w:t>
      </w:r>
      <w:r w:rsidRPr="001D5094">
        <w:rPr>
          <w:b/>
          <w:bCs/>
        </w:rPr>
        <w:t>εκτιμήσεις για τις επιπτώσεις τις κρουαζιέρας στη Θεσσαλονίκη σε</w:t>
      </w:r>
      <w:r w:rsidR="00FE0D52" w:rsidRPr="001D5094">
        <w:rPr>
          <w:b/>
          <w:bCs/>
        </w:rPr>
        <w:t xml:space="preserve"> ετήσια βάση</w:t>
      </w:r>
      <w:r w:rsidR="00D9120A" w:rsidRPr="001D5094">
        <w:rPr>
          <w:b/>
          <w:bCs/>
        </w:rPr>
        <w:t>, βάσει εναλλακτικών σεναρίων</w:t>
      </w:r>
      <w:r w:rsidR="00D9120A">
        <w:t>, με</w:t>
      </w:r>
    </w:p>
    <w:p w:rsidR="00BF3903" w:rsidRPr="00D9120A" w:rsidRDefault="00BF3903" w:rsidP="00D9120A">
      <w:pPr>
        <w:pStyle w:val="ListParagraph"/>
        <w:numPr>
          <w:ilvl w:val="0"/>
          <w:numId w:val="5"/>
        </w:numPr>
        <w:jc w:val="both"/>
      </w:pPr>
      <w:r w:rsidRPr="00D9120A">
        <w:t>τις άμεσες θετικές επιπτώσεις να κυμαίνονται μεταξύ €5,23 εκ. (σενάριο βάσης)  και €6,49 εκ. (θετικό σενάριο)</w:t>
      </w:r>
    </w:p>
    <w:p w:rsidR="00BF3903" w:rsidRPr="00D9120A" w:rsidRDefault="00BF3903" w:rsidP="00D9120A">
      <w:pPr>
        <w:pStyle w:val="ListParagraph"/>
        <w:numPr>
          <w:ilvl w:val="0"/>
          <w:numId w:val="5"/>
        </w:numPr>
        <w:jc w:val="both"/>
      </w:pPr>
      <w:r w:rsidRPr="00D9120A">
        <w:t>τις έμμεσες θετικές επιπτώσεις να κυμαίνονται μεταξύ €3,43 εκ. (σενάριο βάσης)  και €4,33 εκ. (θετικό σενάριο)</w:t>
      </w:r>
    </w:p>
    <w:p w:rsidR="00BF3903" w:rsidRPr="00D9120A" w:rsidRDefault="00BF3903" w:rsidP="00D9120A">
      <w:pPr>
        <w:pStyle w:val="ListParagraph"/>
        <w:numPr>
          <w:ilvl w:val="0"/>
          <w:numId w:val="5"/>
        </w:numPr>
        <w:jc w:val="both"/>
      </w:pPr>
      <w:r w:rsidRPr="00D9120A">
        <w:lastRenderedPageBreak/>
        <w:t>τις συνολικές θετικές επιπτώσεις να κυμαίνονται μεταξύ €8,56 εκ. (σενάριο βάσης)  και €10,82 εκ. (θετικό σενάριο)</w:t>
      </w:r>
    </w:p>
    <w:p w:rsidR="00BF3903" w:rsidRPr="00BF3903" w:rsidRDefault="00BF3903" w:rsidP="00D9120A">
      <w:pPr>
        <w:jc w:val="both"/>
      </w:pPr>
    </w:p>
    <w:p w:rsidR="00D9120A" w:rsidRDefault="00D82337" w:rsidP="00D9120A">
      <w:pPr>
        <w:jc w:val="both"/>
      </w:pPr>
      <w:r>
        <w:t>Όσο</w:t>
      </w:r>
      <w:r w:rsidR="00BF3903">
        <w:t xml:space="preserve"> αφορά</w:t>
      </w:r>
      <w:r w:rsidR="00FE0D52">
        <w:t xml:space="preserve"> τις επιπτώσεις στην απασχόληση, </w:t>
      </w:r>
      <w:r w:rsidR="00BF3903">
        <w:t xml:space="preserve">η </w:t>
      </w:r>
      <w:r>
        <w:t xml:space="preserve">φετινή περίοδος της </w:t>
      </w:r>
      <w:r w:rsidR="00BF3903">
        <w:t>κρουαζιέρα</w:t>
      </w:r>
      <w:r>
        <w:t>ς</w:t>
      </w:r>
      <w:r w:rsidR="00D9120A">
        <w:t xml:space="preserve">, με τον σημαντικό αναμενόμενο αριθμό 68 προσεγγίσεων </w:t>
      </w:r>
      <w:r w:rsidR="001D5094">
        <w:t xml:space="preserve"> </w:t>
      </w:r>
      <w:proofErr w:type="spellStart"/>
      <w:r w:rsidR="001D5094">
        <w:t>κρουαζιεροπλοίων</w:t>
      </w:r>
      <w:proofErr w:type="spellEnd"/>
      <w:r w:rsidR="001D5094">
        <w:t xml:space="preserve"> στο λιμένα της</w:t>
      </w:r>
      <w:r w:rsidR="00D9120A">
        <w:t xml:space="preserve"> Θεσσαλονίκη</w:t>
      </w:r>
      <w:r w:rsidR="001D5094">
        <w:t>ς,</w:t>
      </w:r>
      <w:r>
        <w:t xml:space="preserve"> εκτιμάται ότι </w:t>
      </w:r>
      <w:r w:rsidR="00D9120A">
        <w:t xml:space="preserve">η κρουαζιέρα </w:t>
      </w:r>
      <w:r>
        <w:t>θα</w:t>
      </w:r>
      <w:r w:rsidR="00BF3903">
        <w:t xml:space="preserve"> </w:t>
      </w:r>
      <w:r>
        <w:t>έχει</w:t>
      </w:r>
      <w:r w:rsidR="00BF3903">
        <w:t xml:space="preserve"> ως αποτέλεσμα την </w:t>
      </w:r>
      <w:r w:rsidR="00BF3903" w:rsidRPr="001D5094">
        <w:rPr>
          <w:b/>
          <w:bCs/>
        </w:rPr>
        <w:t xml:space="preserve">διατήρηση </w:t>
      </w:r>
      <w:r w:rsidRPr="001D5094">
        <w:rPr>
          <w:b/>
          <w:bCs/>
        </w:rPr>
        <w:t>111</w:t>
      </w:r>
      <w:r w:rsidR="00BF3903" w:rsidRPr="001D5094">
        <w:rPr>
          <w:b/>
          <w:bCs/>
        </w:rPr>
        <w:t xml:space="preserve"> θέσεων εργασίας </w:t>
      </w:r>
      <w:r w:rsidRPr="001D5094">
        <w:rPr>
          <w:b/>
          <w:bCs/>
        </w:rPr>
        <w:t xml:space="preserve">πλήρους απασχόλησης </w:t>
      </w:r>
      <w:r w:rsidR="00BF3903" w:rsidRPr="001D5094">
        <w:rPr>
          <w:b/>
          <w:bCs/>
        </w:rPr>
        <w:t>σε ετήσια βάση.</w:t>
      </w:r>
    </w:p>
    <w:p w:rsidR="00D82337" w:rsidRDefault="00D82337" w:rsidP="00D9120A">
      <w:pPr>
        <w:jc w:val="both"/>
      </w:pPr>
    </w:p>
    <w:p w:rsidR="00D82337" w:rsidRDefault="00D82337" w:rsidP="00D9120A">
      <w:pPr>
        <w:jc w:val="both"/>
      </w:pPr>
      <w:r>
        <w:t>Από τα σημαντικότερα ευρήματα της έρευνας, είναι η ικανοποίηση των επιβατών κρουαζιέρας, όπως αντικατοπτρίζεται στο γεγονός ότι τ</w:t>
      </w:r>
      <w:r w:rsidRPr="001D5094">
        <w:rPr>
          <w:b/>
          <w:bCs/>
        </w:rPr>
        <w:t xml:space="preserve">ο 90,1% </w:t>
      </w:r>
      <w:r w:rsidR="001D5094" w:rsidRPr="001D5094">
        <w:rPr>
          <w:b/>
          <w:bCs/>
        </w:rPr>
        <w:t>των επιβατών</w:t>
      </w:r>
      <w:r w:rsidRPr="001D5094">
        <w:rPr>
          <w:b/>
          <w:bCs/>
        </w:rPr>
        <w:t xml:space="preserve"> να δηλώνουν ότι μετά την επίσκεψη που πραγματοποίησαν είναι εξαιρετικά έως αρκετά πιθανό να συστήσουν τη Θεσσαλονίκη ως προορισμό τουριστικής επίσκεψης</w:t>
      </w:r>
      <w:r>
        <w:t>.</w:t>
      </w:r>
    </w:p>
    <w:p w:rsidR="00FD15D2" w:rsidRDefault="00FD15D2" w:rsidP="00715988"/>
    <w:p w:rsidR="00D9120A" w:rsidRPr="00D9120A" w:rsidRDefault="00D9120A" w:rsidP="00D9120A">
      <w:pPr>
        <w:jc w:val="center"/>
        <w:rPr>
          <w:lang w:val="en-US"/>
        </w:rPr>
      </w:pPr>
      <w:r>
        <w:rPr>
          <w:lang w:val="en-US"/>
        </w:rPr>
        <w:t>*******</w:t>
      </w:r>
    </w:p>
    <w:p w:rsidR="00FD15D2" w:rsidRPr="00FD15D2" w:rsidRDefault="00FD15D2" w:rsidP="00715988"/>
    <w:sectPr w:rsidR="00FD15D2" w:rsidRPr="00FD15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C0213"/>
    <w:multiLevelType w:val="hybridMultilevel"/>
    <w:tmpl w:val="8A9E456E"/>
    <w:lvl w:ilvl="0" w:tplc="08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1C4776CD"/>
    <w:multiLevelType w:val="multilevel"/>
    <w:tmpl w:val="583A377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76433CF"/>
    <w:multiLevelType w:val="hybridMultilevel"/>
    <w:tmpl w:val="690E96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562446"/>
    <w:multiLevelType w:val="hybridMultilevel"/>
    <w:tmpl w:val="B9462372"/>
    <w:lvl w:ilvl="0" w:tplc="265C16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C84B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DCFD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42C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3478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1C5F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AC20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46A9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0AA9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78BF1619"/>
    <w:multiLevelType w:val="multilevel"/>
    <w:tmpl w:val="E52A223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11184463">
    <w:abstractNumId w:val="1"/>
  </w:num>
  <w:num w:numId="2" w16cid:durableId="1114323037">
    <w:abstractNumId w:val="4"/>
  </w:num>
  <w:num w:numId="3" w16cid:durableId="881132243">
    <w:abstractNumId w:val="3"/>
  </w:num>
  <w:num w:numId="4" w16cid:durableId="2037341084">
    <w:abstractNumId w:val="2"/>
  </w:num>
  <w:num w:numId="5" w16cid:durableId="814764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A27"/>
    <w:rsid w:val="001D5094"/>
    <w:rsid w:val="001F3C0E"/>
    <w:rsid w:val="003063A0"/>
    <w:rsid w:val="00385FD0"/>
    <w:rsid w:val="003E2280"/>
    <w:rsid w:val="005F7E7D"/>
    <w:rsid w:val="006205B3"/>
    <w:rsid w:val="00661793"/>
    <w:rsid w:val="00715988"/>
    <w:rsid w:val="009400FA"/>
    <w:rsid w:val="00AE19A4"/>
    <w:rsid w:val="00BF3903"/>
    <w:rsid w:val="00C31A27"/>
    <w:rsid w:val="00C55C22"/>
    <w:rsid w:val="00C85E5B"/>
    <w:rsid w:val="00D343FF"/>
    <w:rsid w:val="00D82337"/>
    <w:rsid w:val="00D9120A"/>
    <w:rsid w:val="00FD15D2"/>
    <w:rsid w:val="00FE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69B7E"/>
  <w15:chartTrackingRefBased/>
  <w15:docId w15:val="{26384185-0862-4044-BC96-24E1E923E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C85E5B"/>
    <w:pPr>
      <w:keepNext/>
      <w:numPr>
        <w:numId w:val="2"/>
      </w:numPr>
      <w:tabs>
        <w:tab w:val="left" w:pos="720"/>
        <w:tab w:val="left" w:pos="1440"/>
        <w:tab w:val="left" w:pos="2160"/>
        <w:tab w:val="left" w:pos="2880"/>
      </w:tabs>
      <w:ind w:left="432" w:hanging="432"/>
      <w:jc w:val="both"/>
      <w:outlineLvl w:val="0"/>
    </w:pPr>
    <w:rPr>
      <w:rFonts w:ascii="Calibri" w:eastAsia="Times New Roman" w:hAnsi="Calibri" w:cs="Calibri"/>
      <w:b/>
      <w:bCs/>
      <w:noProof/>
      <w:kern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C85E5B"/>
    <w:rPr>
      <w:rFonts w:ascii="Calibri" w:eastAsia="Times New Roman" w:hAnsi="Calibri" w:cs="Calibri"/>
      <w:b/>
      <w:bCs/>
      <w:noProof/>
      <w:kern w:val="28"/>
      <w:lang w:val="en-US"/>
    </w:rPr>
  </w:style>
  <w:style w:type="paragraph" w:styleId="ListParagraph">
    <w:name w:val="List Paragraph"/>
    <w:basedOn w:val="Normal"/>
    <w:uiPriority w:val="34"/>
    <w:qFormat/>
    <w:rsid w:val="00FE0D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4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9094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985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90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498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User5</cp:lastModifiedBy>
  <cp:revision>5</cp:revision>
  <dcterms:created xsi:type="dcterms:W3CDTF">2023-04-25T11:32:00Z</dcterms:created>
  <dcterms:modified xsi:type="dcterms:W3CDTF">2023-04-26T13:49:00Z</dcterms:modified>
</cp:coreProperties>
</file>